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2024 IV/2 vom 3. April 2024</w:t>
      </w:r>
    </w:p>
    <w:p>
      <w:r>
        <w:t>Bundesverwaltungsgericht, 2024-04-03, IT</w:t>
      </w:r>
    </w:p>
    <w:p>
      <w:r>
        <w:rPr>
          <w:b/>
        </w:rPr>
        <w:t xml:space="preserve">Quelle: </w:t>
      </w:r>
      <w:r>
        <w:t>https://mcp.opencaselaw.ch/entscheid/bvger_BVGE 2024 IV_2</w:t>
      </w:r>
    </w:p>
    <w:p>
      <w:r>
        <w:t>FR: TAF BVGE 2024 IV/2 du 3 avril 2024</w:t>
      </w:r>
    </w:p>
    <w:p>
      <w:r>
        <w:t>IT: TAF BVGE 2024 IV/2 del 3 aprile 2024</w:t>
      </w:r>
    </w:p>
    <w:p>
      <w:pPr>
        <w:pStyle w:val="Heading2"/>
      </w:pPr>
      <w:r>
        <w:t>Regeste</w:t>
      </w:r>
    </w:p>
    <w:p>
      <w:r>
        <w:t>Finanzmarktaufsicht (Übriges)</w:t>
      </w:r>
    </w:p>
    <w:p>
      <w:pPr>
        <w:pStyle w:val="Heading2"/>
      </w:pPr>
      <w:r>
        <w:t>Erwägungen</w:t>
      </w:r>
    </w:p>
    <w:p>
      <w:r>
        <w:rPr>
          <w:b/>
        </w:rPr>
        <w:t>E. 1</w:t>
      </w:r>
    </w:p>
    <w:p>
      <w:r>
        <w:t>Umfang und Zweck des Akteneinsichtsrechts nach VwVG im Vergleich zum Auskunftsrecht nach DSG. In datenschutzrechtlichen Verfahren ist das Auskunftsrecht lex specialis zum Akteneinsichtsrecht (E. 4.2-4.4).</w:t>
      </w:r>
    </w:p>
    <w:p>
      <w:r>
        <w:rPr>
          <w:b/>
        </w:rPr>
        <w:t>E. 2</w:t>
      </w:r>
    </w:p>
    <w:p>
      <w:r>
        <w:t>Le droit d'accès selon la LPD se limite aux données personnelles de la personne requérante, raison pour laquelle les données personnelles de tiers et les données matérielles ne doivent pas être divulguées (consid. 6). Protezione dei dati. Diritto d'accesso e diritto di esaminare gli atti. Art. 13 cpv. 2, art. 29 cpv. 2 Cost. Art. 26, art. 27 PA. Vart. 23 cpv. 1 LFINMA. Art. 8, art. 9 vLPD.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